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7578</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ETSU Breastfeeding Conference - Enduring Material (4/1/2026-3/31/2029)</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Breastfeeding Conference: Breastfeeding the Medically Fragile Infant During the Early Post Partum Period</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ETSU Breastfeeding Conference - Enduring Material (4/1/2026-3/31/2029)</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Breastfeeding Conference: Breastfeeding the Medically Fragile Infant During the Early Post Partum Period</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May 13, 2026 7:00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5/13/2026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5/12/2028</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May 12, 2028 8:00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May 12, 2028 8:00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Recordings from breastfeeding conference which focused on preparing for the first two weeks of breastfeeding.</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Examine the physiological factors influencing lactogenesis II and sustained milk production among mothers exclusively pumping for medically fragile infants during the early post partum period</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Identify interventions to mediate the challenges that often lead to discontinuation of exclusive pumping</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Examine the physiological factors influencing lactogenesis II and sustained milk production among mothers exclusively pumping for medically fragile infants during the early post partum period</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Identify interventions to mediate the challenges that often lead to discontinuation of exclusive pumping</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Examine the physiological factors influencing lactogenesis II and sustained milk production among mothers exclusively pumping for medically fragile infants during the early post partum period</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2 Identify interventions to mediate the challenges that often lead to discontinuation of exclusive pumping</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Gloria Dudney,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Honoraria-Mead Johnson Nutrition Company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Louisa Ferrara-Gonzalez, PhD, CCC-SLP, BCS-S, CNT, CLC, NTMTC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Bureau-Mead Johnson Nutrition Company|Employment-Cardinal Health (Relationship has ended)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Hamlin, CBS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 Kellams, MD, IBCLC, NABBLM-C, FABM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Meisenzahl,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Lydia Perry,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Aliyah Smith-Gomis,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