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7578</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ETSU Breastfeeding Conference - Enduring Material (4/1/2026-3/31/2029)</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Breastfeeding Conference: Bridging the Gap Between Breast and Bottle Feedings: Aligning Techniques for Optimal Development</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ETSU Breastfeeding Conference - Enduring Material (4/1/2026-3/31/2029)</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Breastfeeding Conference: Bridging the Gap Between Breast and Bottle Feedings: Aligning Techniques for Optimal Development</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Enduring Material</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Enduring Material</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May 13, 2026 7:00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5/13/2026</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5/12/2028</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May 12, 2028 8:00 AM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May 12, 2028 8:00 AM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Recordings from breastfeeding conference which focused on preparing for the first two weeks of breastfeeding.</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Recordings from breastfeeding conference which focused on preparing for the first two weeks of breastfeeding.</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Recordings from breastfeeding conference which focused on preparing for the first two weeks of breastfeeding.</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w:instrText>
        <w:tab/>
        <w:instrText>Review normal suck-swallow-breathe development from fetus to newborn</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w:instrText>
        <w:tab/>
        <w:instrText>Compare the oral motor movements for breast feeding verses bottle feeding</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3 •</w:instrText>
        <w:tab/>
        <w:instrText>Differentiate between techniques that promote safety and growth verses maladaptive skill development</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4 •</w:instrText>
        <w:tab/>
        <w:instrText>List appropriate techniques to use on NICU infants and how to teach them to parents</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w:instrText>
        <w:tab/>
        <w:instrText>Review normal suck-swallow-breathe development from fetus to newborn</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w:instrText>
        <w:tab/>
        <w:instrText>Compare the oral motor movements for breast feeding verses bottle feeding</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3 •</w:instrText>
        <w:tab/>
        <w:instrText>Differentiate between techniques that promote safety and growth verses maladaptive skill development</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4 •</w:instrText>
        <w:tab/>
        <w:instrText>List appropriate techniques to use on NICU infants and how to teach them to parents</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w:t>
        <w:tab/>
        <w:t>Review normal suck-swallow-breathe development from fetus to newborn</w: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t>2 •</w:t>
        <w:tab/>
        <w:t>Compare the oral motor movements for breast feeding verses bottle feeding</w: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t>3 •</w:t>
        <w:tab/>
        <w:t>Differentiate between techniques that promote safety and growth verses maladaptive skill development</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4 •</w:t>
        <w:tab/>
        <w:t>List appropriate techniques to use on NICU infants and how to teach them to parents</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Gloria Dudney, RN,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Honoraria-Mead Johnson Nutrition Company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Louisa Ferrara-Gonzalez, PhD, CCC-SLP, BCS-S, CNT, CLC, NTMTC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Bureau-Mead Johnson Nutrition Company|Employment-Cardinal Health (Relationship has ended)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Hamlin, CBS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 Kellams, MD, IBCLC, NABBLM-C, FABM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Meagan Meisenzahl,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Lydia Perry,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Husband is owner of Callion Pharma - Shares bank account-Callion Pharma - 09/08/2025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Aliyah Smith-Gomis,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