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7578</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ETSU Breastfeeding Conference - Enduring Material (4/1/2026-3/31/2029)</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Breastfeeding Conference: To Supplement or Not to Supplement</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ETSU Breastfeeding Conference - Enduring Material (4/1/2026-3/31/2029)</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Breastfeeding Conference: To Supplement or Not to Supplement</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13, 2026 7:00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5/13/2026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5/12/2028</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May 12, 2028 8:00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May 12, 2028 8:00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Recordings from breastfeeding conference which focused on preparing for the first two weeks of breastfeeding.</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Articulate the medical indications for supplementation</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Troubleshoot common breastfeeding concerns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3 Assess for the effectiveness of latch</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Articulate the medical indications for supplementation</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Troubleshoot common breastfeeding concerns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3 Assess for the effectiveness of latch</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Articulate the medical indications for supplementation</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Troubleshoot common breastfeeding concerns</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3 Assess for the effectiveness of latch</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Gloria Dudney,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Honoraria-Mead Johnson Nutrition Company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Louisa Ferrara-Gonzalez, PhD, CCC-SLP, BCS-S, CNT, CLC, NTMTC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Bureau-Mead Johnson Nutrition Company|Employment-Cardinal Health (Relationship has ended)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Hamlin, CBS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 Kellams, MD, IBCLC, NABBLM-C, FABM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Meisenzahl,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Perry,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Aliyah Smith-Gomis,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