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5134</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Child and Family Health Institute (CFHI) Collaborative Series (1/2/2025-1/1/2026) Enduring Material</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Child and Family Health Institute (CFHI) Collaborative Series - Securing Our Future: How We Can Advance Pediatric Firearm Injury Prevention 5/22/2025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(1/2/2025-1/1/2026) Enduring Material</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Child and Family Health Institute (CFHI) Collaborative Series - Securing Our Future: How We Can Advance Pediatric Firearm Injury Prevention 5/22/2025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Enduring Material</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Enduring Material</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May 22, 2025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5/22/2025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12/31/2028</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instrText>December 31, 2028 1:00 PM</w:instrText>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t xml:space="preserve"> – </w:t>
      </w:r>
      <w:r w:rsidRPr="00EA6911" w:rsidR="0022424C">
        <w:rPr>
          <w:rFonts w:ascii="Cambria" w:hAnsi="Cambria" w:cstheme="minorHAnsi"/>
          <w:color w:val="020437"/>
          <w:sz w:val="32"/>
          <w:szCs w:val="32"/>
        </w:rPr>
        <w:t>December 31, 2028 1:00 PM</w:t>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 presentation as well as time for discussion and networking. You can watch previous recordings on our CFHI Playlist on the ETSU YouTube Channel.</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 presentation as well as time for discussion and networking. You can watch previous recordings on our CFHI Playlist on the ETSU YouTube Channel.</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 presentation as well as time for discussion and networking. You can watch previous recordings on our CFHI Playlist on the ETSU YouTube Channel.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Describe the impact of youth fi rearm injury in the US and Tennessee and understand the multipronged approach required to reduce the public health crisis of pediatric firearm injuries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Analyze multiple fi rearm secure storage solutions through case-based scenarios to develop family-centered strategies that address safety, accessibility, and the unique needs of different household situations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Describe the impact of youth fi rearm injury in the US and Tennessee and understand the multipronged approach required to reduce the public health crisis of pediatric firearm injuries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Analyze multiple fi rearm secure storage solutions through case-based scenarios to develop family-centered strategies that address safety, accessibility, and the unique needs of different household situations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Describe the impact of youth fi rearm injury in the US and Tennessee and understand the multipronged approach required to reduce the public health crisis of pediatric firearm injuries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Analyze multiple fi rearm secure storage solutions through case-based scenarios to develop family-centered strategies that address safety, accessibility, and the unique needs of different household situations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- 10/02/2024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