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5134</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(1/1/2025-12/31/2027)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Building and Expanding Tennessee's IECMH Consultation Warmline 3/6/2025</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(1/1/2025-12/31/2027)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Building and Expanding Tennessee's IECMH Consultation Warmline 3/6/2025</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March 6, 2025 3:05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3/6/2025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12/31/2027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December 31, 2027 4:05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December 31, 2027 4:05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Learn the origin story of the TN IECMH Consultation Warmline and its expansion to various IECMH sectors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Gain an understanding of how Warmline Consultation functions and the need it meets within systems and the workforce</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Learn the origin story of the TN IECMH Consultation Warmline and its expansion to various IECMH sectors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Gain an understanding of how Warmline Consultation functions and the need it meets within systems and the workforce</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Learn the origin story of the TN IECMH Consultation Warmline and its expansion to various IECMH sectors</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Gain an understanding of how Warmline Consultation functions and the need it meets within systems and the workforce</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Arts,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Jordan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- 10/02/2024</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