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5127</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Child and Family Health Institute (CFHI) Collaborative Series (1/2/2025-1/1/2026)</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Child and Family Health Institute (CFHI) Collaborative Series - Consequences of Marijuana Use During Pregnancy 4/16/2025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Child and Family Health Institute (CFHI) Collaborative Series (1/2/2025-1/1/2026)</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Child and Family Health Institute (CFHI) Collaborative Series - Consequences of Marijuana Use During Pregnancy 4/16/2025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April 16, 2025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4/16/2025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4/16/2025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This series features innovations and opportunities for collaboration in child and family health research, education, service, program development, and advocacy. Each session will include a 30-40 minute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Q Mills,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Dianna Puhr,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Jordan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Schetzina, MD, MPH,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Husband is owner of Callion Pharma - Shares bank account-Callion Pharma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Alisha Singley, MSW, CPM - Certified Public Manager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Campbell,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- 04/14/2025</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