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5127</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Child and Family Health Institute (CFHI) Collaborative Series (1/2/2025-1/1/2026)</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Child and Family Health Institute (CFHI) Collaborative Series - 2/20/2025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Child and Family Health Institute (CFHI) Collaborative Series (1/2/2025-1/1/2026)</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Child and Family Health Institute (CFHI) Collaborative Series - 2/20/2025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February 20, 2025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2/20/2025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2/20/2025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This series features innovations and opportunities for collaboration in child and family health research, education, service, program development, and advocacy. Each session will include a 30-40 minute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Jordan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Schetzina, MD, MPH,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Husband is owner of Callion Pharma - Shares bank account-Callion Pharma - 10/02/2024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