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P</w:instrText>
      </w:r>
      <w:r w:rsidRPr="00EA6911">
        <w:rPr>
          <w:rFonts w:ascii="Cambria" w:hAnsi="Cambria" w:cstheme="minorHAnsi"/>
          <w:b/>
          <w:color w:val="020437"/>
          <w:sz w:val="44"/>
          <w:szCs w:val="44"/>
        </w:rPr>
        <w:instrText>arent</w:instrText>
      </w:r>
      <w:r w:rsidRPr="00EA6911">
        <w:rPr>
          <w:rFonts w:ascii="Cambria" w:hAnsi="Cambria" w:cstheme="minorHAnsi"/>
          <w:b/>
          <w:color w:val="020437"/>
          <w:sz w:val="44"/>
          <w:szCs w:val="44"/>
        </w:rPr>
        <w:instrText xml:space="preserve">Name </w:instrText>
      </w:r>
      <w:r w:rsidRPr="00EA6911">
        <w:rPr>
          <w:rFonts w:ascii="Cambria" w:hAnsi="Cambria" w:cstheme="minorHAnsi"/>
          <w:b/>
          <w:color w:val="020437"/>
          <w:sz w:val="44"/>
          <w:szCs w:val="44"/>
        </w:rPr>
        <w:fldChar w:fldCharType="separate"/>
      </w:r>
      <w:r w:rsidR="005E72DF">
        <w:rPr>
          <w:rFonts w:ascii="Cambria" w:hAnsi="Cambria" w:cstheme="minorHAnsi"/>
          <w:b/>
          <w:noProof/>
          <w:color w:val="020437"/>
          <w:sz w:val="44"/>
          <w:szCs w:val="44"/>
        </w:rPr>
        <w:instrText>«ParentName»</w:instrText>
      </w:r>
      <w:r w:rsidRPr="00EA6911">
        <w:rPr>
          <w:rFonts w:ascii="Cambria" w:hAnsi="Cambria" w:cstheme="minorHAnsi"/>
          <w:b/>
          <w:color w:val="020437"/>
          <w:sz w:val="44"/>
          <w:szCs w:val="44"/>
        </w:rPr>
        <w:fldChar w:fldCharType="end"/>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fldChar w:fldCharType="begin"/>
      </w:r>
      <w:r w:rsidRPr="00EA6911">
        <w:rPr>
          <w:rFonts w:ascii="Cambria" w:hAnsi="Cambria" w:cstheme="minorHAnsi"/>
          <w:b/>
          <w:color w:val="020437"/>
          <w:sz w:val="36"/>
          <w:szCs w:val="36"/>
        </w:rPr>
        <w:instrText xml:space="preserve"> MERGEFIELD </w:instrText>
      </w:r>
      <w:r w:rsidRPr="00EA6911" w:rsidR="00D345AF">
        <w:rPr>
          <w:rFonts w:ascii="Cambria" w:hAnsi="Cambria" w:cstheme="minorHAnsi"/>
          <w:b/>
          <w:color w:val="020437"/>
          <w:sz w:val="36"/>
          <w:szCs w:val="36"/>
        </w:rPr>
        <w:instrText>Event</w:instrText>
      </w:r>
      <w:r w:rsidRPr="00EA6911">
        <w:rPr>
          <w:rFonts w:ascii="Cambria" w:hAnsi="Cambria" w:cstheme="minorHAnsi"/>
          <w:b/>
          <w:color w:val="020437"/>
          <w:sz w:val="36"/>
          <w:szCs w:val="36"/>
        </w:rPr>
        <w:instrText xml:space="preserve">Name </w:instrText>
      </w:r>
      <w:r w:rsidRPr="00EA6911">
        <w:rPr>
          <w:rFonts w:ascii="Cambria" w:hAnsi="Cambria" w:cstheme="minorHAnsi"/>
          <w:b/>
          <w:color w:val="020437"/>
          <w:sz w:val="36"/>
          <w:szCs w:val="36"/>
        </w:rPr>
        <w:fldChar w:fldCharType="separate"/>
      </w:r>
      <w:r>
        <w:rPr>
          <w:rFonts w:ascii="Cambria" w:hAnsi="Cambria" w:cstheme="minorHAnsi"/>
          <w:b/>
          <w:noProof/>
          <w:color w:val="020437"/>
          <w:sz w:val="36"/>
          <w:szCs w:val="36"/>
        </w:rPr>
        <w:instrText>«EventName»</w:instrText>
      </w:r>
      <w:r w:rsidRPr="00EA6911">
        <w:rPr>
          <w:rFonts w:ascii="Cambria" w:hAnsi="Cambria" w:cstheme="minorHAnsi"/>
          <w:b/>
          <w:color w:val="020437"/>
          <w:sz w:val="36"/>
          <w:szCs w:val="36"/>
        </w:rPr>
        <w:fldChar w:fldCharType="end"/>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instrText>40th Annual ETSU Pediatrics Conference</w:instrText>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40th Annual ETSU Pediatrics Conference</w:t>
      </w:r>
      <w:r w:rsidRPr="00EA6911" w:rsidR="00BF0B3E">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July 26, 2025 11:30 AM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7/26/2025</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7/26/2025</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w:instrText>
      </w:r>
      <w:r w:rsidRPr="00EA6911">
        <w:rPr>
          <w:rFonts w:ascii="Cambria" w:hAnsi="Cambria" w:cstheme="minorHAnsi"/>
          <w:color w:val="020437"/>
          <w:sz w:val="32"/>
          <w:szCs w:val="32"/>
        </w:rPr>
        <w:instrText>Quillen College of Medicine / VA Campus</w:instrText>
      </w:r>
      <w:r w:rsidRPr="00EA6911">
        <w:rPr>
          <w:rFonts w:ascii="Cambria" w:hAnsi="Cambria" w:cstheme="minorHAnsi"/>
          <w:color w:val="020437"/>
          <w:sz w:val="32"/>
          <w:szCs w:val="32"/>
        </w:rPr>
        <w:instrText>"</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Quillen College of Medicine / VA Campus</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Quillen College of Medicine / VA Campus</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Pr>
          <w:rtl w:val="0"/>
        </w:rPr>
        <w:instrText>The 40th Annual ETSU Pediatric Conference is geared towards providers who care for children in East Tennessee, Southwest Virginia, Northwest North Carolina, and Southeast Kentucky. Please join us as we discuss a number of clinical topics where new evidence is emerging for the prevention and treatment of pediatric conditions.</w:instrText>
      </w: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rsidP="00297504">
      <w:pPr>
        <w:contextualSpacing/>
        <w:outlineLvl w:val="0"/>
        <w:rPr>
          <w:rFonts w:ascii="Cambria" w:hAnsi="Cambria" w:cstheme="minorHAnsi"/>
          <w:noProof/>
          <w:color w:val="020437"/>
          <w:sz w:val="20"/>
        </w:rPr>
      </w:pPr>
      <w:r>
        <w:rPr>
          <w:rtl w:val="0"/>
        </w:rPr>
        <w:instrText>The 40th Annual ETSU Pediatric Conference is geared towards providers who care for children in East Tennessee, Southwest Virginia, Northwest North Carolina, and Southeast Kentucky. Please join us as we discuss a number of clinical topics where new evidence is emerging for the prevention and treatment of pediatric conditions.</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 w:val="21"/>
          <w:szCs w:val="21"/>
        </w:rPr>
      </w:pPr>
      <w:r>
        <w:rPr>
          <w:rtl w:val="0"/>
        </w:rPr>
        <w:t>The 40th Annual ETSU Pediatric Conference is geared towards providers who care for children in East Tennessee, Southwest Virginia, Northwest North Carolina, and Southeast Kentucky. Please join us as we discuss a number of clinical topics where new evidence is emerging for the prevention and treatment of pediatric conditions.</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1 Discuss current guidelines, new updates on best practices, and how to utilize these guidelines to make informed diagnostic and therapeutic decisions based on current scientific evidence.</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2 Identify mechanisms to implement measures needed to enhance or maintain health and function of pediatric patients and prevent disease.</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instrText>1 Discuss current guidelines, new updates on best practices, and how to utilize these guidelines to make informed diagnostic and therapeutic decisions based on current scientific evidence.</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2 Identify mechanisms to implement measures needed to enhance or maintain health and function of pediatric patients and prevent disease.</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Learning Objectives</w: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t>1 Discuss current guidelines, new updates on best practices, and how to utilize these guidelines to make informed diagnostic and therapeutic decisions based on current scientific evidence.</w:t>
      </w: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Cs w:val="24"/>
        </w:rPr>
        <w:t>2 Identify mechanisms to implement measures needed to enhance or maintain health and function of pediatric patients and prevent disease.</w:t>
      </w:r>
      <w:r w:rsidRPr="00EA6911">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4.00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4.00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4.00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4.00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4.00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4.00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APAHoursMax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ACPE Credit:</w:instrText>
      </w:r>
      <w:r w:rsidRPr="00EA6911">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ACPEHoursMax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Donna Dougherty,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GAYATRI B JAISHANKAR,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Dawn Tuell,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Robin Proffitt, DNP, MBA, APRN, CCNS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- 02/14/2025</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