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4163</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(1/2/2024-1/1/2025)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Congenital Syphilis 11/18/2024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(1/2/2024-1/1/2025)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Congenital Syphilis 11/18/2024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November 18,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11/18/2024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11/18/2024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Duvall, MA, Health Communication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Cynthia C Thomas,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