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P</w:instrText>
      </w:r>
      <w:r w:rsidRPr="00EA6911">
        <w:rPr>
          <w:rFonts w:ascii="Cambria" w:hAnsi="Cambria" w:cstheme="minorHAnsi"/>
          <w:b/>
          <w:color w:val="020437"/>
          <w:sz w:val="44"/>
          <w:szCs w:val="44"/>
        </w:rPr>
        <w:instrText>arent</w:instrText>
      </w:r>
      <w:r w:rsidRPr="00EA6911">
        <w:rPr>
          <w:rFonts w:ascii="Cambria" w:hAnsi="Cambria" w:cstheme="minorHAnsi"/>
          <w:b/>
          <w:color w:val="020437"/>
          <w:sz w:val="44"/>
          <w:szCs w:val="44"/>
        </w:rPr>
        <w:instrText xml:space="preserve">Name </w:instrText>
      </w:r>
      <w:r w:rsidRPr="00EA6911">
        <w:rPr>
          <w:rFonts w:ascii="Cambria" w:hAnsi="Cambria" w:cstheme="minorHAnsi"/>
          <w:b/>
          <w:color w:val="020437"/>
          <w:sz w:val="44"/>
          <w:szCs w:val="44"/>
        </w:rPr>
        <w:fldChar w:fldCharType="separate"/>
      </w:r>
      <w:r w:rsidR="005E72DF">
        <w:rPr>
          <w:rFonts w:ascii="Cambria" w:hAnsi="Cambria" w:cstheme="minorHAnsi"/>
          <w:b/>
          <w:noProof/>
          <w:color w:val="020437"/>
          <w:sz w:val="44"/>
          <w:szCs w:val="44"/>
        </w:rPr>
        <w:instrText>«ParentName»</w:instrText>
      </w:r>
      <w:r w:rsidRPr="00EA6911">
        <w:rPr>
          <w:rFonts w:ascii="Cambria" w:hAnsi="Cambria" w:cstheme="minorHAnsi"/>
          <w:b/>
          <w:color w:val="020437"/>
          <w:sz w:val="44"/>
          <w:szCs w:val="44"/>
        </w:rPr>
        <w:fldChar w:fldCharType="end"/>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fldChar w:fldCharType="begin"/>
      </w:r>
      <w:r w:rsidRPr="00EA6911">
        <w:rPr>
          <w:rFonts w:ascii="Cambria" w:hAnsi="Cambria" w:cstheme="minorHAnsi"/>
          <w:b/>
          <w:color w:val="020437"/>
          <w:sz w:val="36"/>
          <w:szCs w:val="36"/>
        </w:rPr>
        <w:instrText xml:space="preserve"> MERGEFIELD </w:instrText>
      </w:r>
      <w:r w:rsidRPr="00EA6911" w:rsidR="00D345AF">
        <w:rPr>
          <w:rFonts w:ascii="Cambria" w:hAnsi="Cambria" w:cstheme="minorHAnsi"/>
          <w:b/>
          <w:color w:val="020437"/>
          <w:sz w:val="36"/>
          <w:szCs w:val="36"/>
        </w:rPr>
        <w:instrText>Event</w:instrText>
      </w:r>
      <w:r w:rsidRPr="00EA6911">
        <w:rPr>
          <w:rFonts w:ascii="Cambria" w:hAnsi="Cambria" w:cstheme="minorHAnsi"/>
          <w:b/>
          <w:color w:val="020437"/>
          <w:sz w:val="36"/>
          <w:szCs w:val="36"/>
        </w:rPr>
        <w:instrText xml:space="preserve">Name </w:instrText>
      </w:r>
      <w:r w:rsidRPr="00EA6911">
        <w:rPr>
          <w:rFonts w:ascii="Cambria" w:hAnsi="Cambria" w:cstheme="minorHAnsi"/>
          <w:b/>
          <w:color w:val="020437"/>
          <w:sz w:val="36"/>
          <w:szCs w:val="36"/>
        </w:rPr>
        <w:fldChar w:fldCharType="separate"/>
      </w:r>
      <w:r>
        <w:rPr>
          <w:rFonts w:ascii="Cambria" w:hAnsi="Cambria" w:cstheme="minorHAnsi"/>
          <w:b/>
          <w:noProof/>
          <w:color w:val="020437"/>
          <w:sz w:val="36"/>
          <w:szCs w:val="36"/>
        </w:rPr>
        <w:instrText>«EventName»</w:instrText>
      </w:r>
      <w:r w:rsidRPr="00EA6911">
        <w:rPr>
          <w:rFonts w:ascii="Cambria" w:hAnsi="Cambria" w:cstheme="minorHAnsi"/>
          <w:b/>
          <w:color w:val="020437"/>
          <w:sz w:val="36"/>
          <w:szCs w:val="36"/>
        </w:rPr>
        <w:fldChar w:fldCharType="end"/>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instrText>Child and Family Health Institute (CFHI) Collaborative Series (1/2/2025-1/1/2026)</w:instrText>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r w:rsidRPr="00EA6911" w:rsidR="00BF0B3E">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January 2,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1/2/2025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1/2/2025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Apply evidence-based and promising practices to the care of children and families.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Utilize community programs and resources to support child and family health, both at an individual and population level.</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Apply evidence-based and promising practices to the care of children and families.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Utilize community programs and resources to support child and family health, both at an individual and population level.</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Apply evidence-based and promising practices to the care of children and families.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Utilize community programs and resources to support child and family health, both at an individual and population level.</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