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4428</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ETSU OB/GYN Grand Rounds (02/18/2024-02/17/2025)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ETSU OB/GYN Grand Rounds - 7/12/2024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ETSU OB/GYN Grand Rounds (02/18/2024-02/17/2025)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ETSU OB/GYN Grand Rounds - 7/12/2024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July 12, 2024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7/12/2024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7/12/2024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Weekly didactic lectures presenting current medical knowledge on topics relevant to OB/GYN practice, education of OB/GYN practitioners, or the accreditation of residents or medical schools.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Understand the fundamental requirements of an OB/GYN program</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Understand the obligations the program has to provide to its residents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Understand what obligations the residents have while in the program</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Understand the fundamental requirements of an OB/GYN program</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Understand the obligations the program has to provide to its residents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Understand what obligations the residents have while in the program</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Understand the fundamental requirements of an OB/GYN program</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Understand the obligations the program has to provide to its residents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Understand what obligations the residents have while in the program</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Marta M Gouge,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Olsen,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Van Camp,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NAVE,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Ransom, MD,MBA, HCLD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Hilary Edminsten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Aleksandr M Fuks,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