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3832</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Hem-Onc Weekly Series (8/5/2023-8/4/2024)</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Hem-Onc Weekly Series (Case Conference)- 4/12/2024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Hem-Onc Weekly Series (8/5/2023-8/4/2024)</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Hem-Onc Weekly Series (Case Conference)- 4/12/2024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April 12, 2024 8:00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4/12/2024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4/12/2024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Other</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A weekly meeting on Friday at 8:00 am to discuss retrospective cancer cases and relative journal articles to improve practice.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A weekly meeting on Friday at 8:00 am to discuss retrospective cancer cases and relative journal articles to improve practice.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A weekly meeting on Friday at 8:00 am to discuss retrospective cancer cases and relative journal articles to improve practice.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Diagnose, stage, and prognosticate specific cancers.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Apply evidence-based treatment paradigms.</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Diagnose, stage, and prognosticate specific cancers.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Apply evidence-based treatment paradigms.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Diagnose, stage, and prognosticate specific cancers.</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Apply evidence-based treatment paradigms.</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DEVAPIRAN JAISHANKAR, MD, Professor of Medicine, Division Chief &amp; Program Director Medical Oncology ETSU</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Kanishka Chakraborty,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Arjun Natarajan,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