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3663</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Family Medicine Review (7/1/2023-6/30/2024)</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Family Medicine Review - 2/28/2024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Family Medicine Review (7/1/2023-6/30/2024)</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Family Medicine Review - 2/28/2024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February 28, 2024 12:30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2/28/2024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2/28/2024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Various topics of interest to practicing family physicians and resident physicians will be presented in person and by livestream. There will be opportunity for interaction among attendees. Sessions will be one Wednesday afternoon every three months.</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Various topics of interest to practicing family physicians and resident physicians will be presented in person and by livestream. There will be opportunity for interaction among attendees. Sessions will be one Wednesday afternoon every three months.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Various topics of interest to practicing family physicians and resident physicians will be presented in person and by livestream. There will be opportunity for interaction among attendees. Sessions will be one Wednesday afternoon every three months.</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Understand the benefits of patient handouts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Safely promote improved health in elderly patients.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Describe the size and cost of the U.S. health care system</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4 Identify patients who may potentially need cataract surgery while being treated with Tamsulosin</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Understand the benefits of patient handouts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Safely promote improved health in elderly patients.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Describe the size and cost of the U.S. health care system</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4 Identify patients who may potentially need cataract surgery while being treated with Tamsulosin</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Understand the benefits of patient handouts</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Safely promote improved health in elderly patients.</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3 Describe the size and cost of the U.S. health care system</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4 Identify patients who may potentially need cataract surgery while being treated with Tamsulosin</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4.00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4.00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4.00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0.00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fldChar w:fldCharType="begin"/>
      </w:r>
      <w:r w:rsidR="00EA6911">
        <w:rPr>
          <w:rFonts w:ascii="Cambria" w:hAnsi="Cambria" w:cstheme="minorHAnsi"/>
          <w:color w:val="020437"/>
          <w:szCs w:val="24"/>
        </w:rPr>
        <w:instrText xml:space="preserve"> MERGEFIELD NonPhyHoursMax \# 0.00# </w:instrText>
      </w:r>
      <w:r w:rsidR="00EA6911">
        <w:rPr>
          <w:rFonts w:ascii="Cambria" w:hAnsi="Cambria" w:cstheme="minorHAnsi"/>
          <w:color w:val="020437"/>
          <w:szCs w:val="24"/>
        </w:rPr>
        <w:fldChar w:fldCharType="separate"/>
      </w:r>
      <w:r w:rsidR="00EA6911">
        <w:rPr>
          <w:rFonts w:ascii="Cambria" w:hAnsi="Cambria" w:cstheme="minorHAnsi"/>
          <w:color w:val="020437"/>
          <w:szCs w:val="24"/>
        </w:rPr>
        <w:fldChar w:fldCharType="end"/>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Wolf, MBA, CPPS, CPHRM,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Samuel Brashears,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Moore, MD, ABFM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D Holt,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Paige McClear,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Collette Hoilman,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Jacob Taber,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Kathy Kunisch,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Max M Bayard,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Raymond Feierabend,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