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P</w:instrText>
      </w:r>
      <w:r w:rsidRPr="00EA6911">
        <w:rPr>
          <w:rFonts w:ascii="Cambria" w:hAnsi="Cambria" w:cstheme="minorHAnsi"/>
          <w:b/>
          <w:color w:val="020437"/>
          <w:sz w:val="44"/>
          <w:szCs w:val="44"/>
        </w:rPr>
        <w:instrText>arent</w:instrText>
      </w:r>
      <w:r w:rsidRPr="00EA6911">
        <w:rPr>
          <w:rFonts w:ascii="Cambria" w:hAnsi="Cambria" w:cstheme="minorHAnsi"/>
          <w:b/>
          <w:color w:val="020437"/>
          <w:sz w:val="44"/>
          <w:szCs w:val="44"/>
        </w:rPr>
        <w:instrText xml:space="preserve">Name </w:instrText>
      </w:r>
      <w:r w:rsidRPr="00EA6911">
        <w:rPr>
          <w:rFonts w:ascii="Cambria" w:hAnsi="Cambria" w:cstheme="minorHAnsi"/>
          <w:b/>
          <w:color w:val="020437"/>
          <w:sz w:val="44"/>
          <w:szCs w:val="44"/>
        </w:rPr>
        <w:fldChar w:fldCharType="separate"/>
      </w:r>
      <w:r w:rsidR="005E72DF">
        <w:rPr>
          <w:rFonts w:ascii="Cambria" w:hAnsi="Cambria" w:cstheme="minorHAnsi"/>
          <w:b/>
          <w:noProof/>
          <w:color w:val="020437"/>
          <w:sz w:val="44"/>
          <w:szCs w:val="44"/>
        </w:rPr>
        <w:instrText>«ParentName»</w:instrText>
      </w:r>
      <w:r w:rsidRPr="00EA6911">
        <w:rPr>
          <w:rFonts w:ascii="Cambria" w:hAnsi="Cambria" w:cstheme="minorHAnsi"/>
          <w:b/>
          <w:color w:val="020437"/>
          <w:sz w:val="44"/>
          <w:szCs w:val="44"/>
        </w:rPr>
        <w:fldChar w:fldCharType="end"/>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fldChar w:fldCharType="begin"/>
      </w:r>
      <w:r w:rsidRPr="00EA6911">
        <w:rPr>
          <w:rFonts w:ascii="Cambria" w:hAnsi="Cambria" w:cstheme="minorHAnsi"/>
          <w:b/>
          <w:color w:val="020437"/>
          <w:sz w:val="36"/>
          <w:szCs w:val="36"/>
        </w:rPr>
        <w:instrText xml:space="preserve"> MERGEFIELD </w:instrText>
      </w:r>
      <w:r w:rsidRPr="00EA6911" w:rsidR="00D345AF">
        <w:rPr>
          <w:rFonts w:ascii="Cambria" w:hAnsi="Cambria" w:cstheme="minorHAnsi"/>
          <w:b/>
          <w:color w:val="020437"/>
          <w:sz w:val="36"/>
          <w:szCs w:val="36"/>
        </w:rPr>
        <w:instrText>Event</w:instrText>
      </w:r>
      <w:r w:rsidRPr="00EA6911">
        <w:rPr>
          <w:rFonts w:ascii="Cambria" w:hAnsi="Cambria" w:cstheme="minorHAnsi"/>
          <w:b/>
          <w:color w:val="020437"/>
          <w:sz w:val="36"/>
          <w:szCs w:val="36"/>
        </w:rPr>
        <w:instrText xml:space="preserve">Name </w:instrText>
      </w:r>
      <w:r w:rsidRPr="00EA6911">
        <w:rPr>
          <w:rFonts w:ascii="Cambria" w:hAnsi="Cambria" w:cstheme="minorHAnsi"/>
          <w:b/>
          <w:color w:val="020437"/>
          <w:sz w:val="36"/>
          <w:szCs w:val="36"/>
        </w:rPr>
        <w:fldChar w:fldCharType="separate"/>
      </w:r>
      <w:r>
        <w:rPr>
          <w:rFonts w:ascii="Cambria" w:hAnsi="Cambria" w:cstheme="minorHAnsi"/>
          <w:b/>
          <w:noProof/>
          <w:color w:val="020437"/>
          <w:sz w:val="36"/>
          <w:szCs w:val="36"/>
        </w:rPr>
        <w:instrText>«EventName»</w:instrText>
      </w:r>
      <w:r w:rsidRPr="00EA6911">
        <w:rPr>
          <w:rFonts w:ascii="Cambria" w:hAnsi="Cambria" w:cstheme="minorHAnsi"/>
          <w:b/>
          <w:color w:val="020437"/>
          <w:sz w:val="36"/>
          <w:szCs w:val="36"/>
        </w:rPr>
        <w:fldChar w:fldCharType="end"/>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instrText>ETSU Annual Orthopedic Symposium</w:instrText>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ETSU Annual Orthopedic Symposium</w:t>
      </w:r>
      <w:r w:rsidRPr="00EA6911" w:rsidR="00BF0B3E">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April 6, 2024 8:00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4/6/2024</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4/6/2024</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Bristol Regional Medical Center</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Bristol Regional Medical Center</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Bristol Regional Medical Center</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event will be held at Bristol Regional Medical Center-Conference Center. This local orthopedic symposium will offer lectures from nationally known speakers in orthopedic surgery, local expert speakers, and orthopedic resident presentations which will be moderated to provide an update of orthopedic treatment in various subspecialties. This one-day event will cover topics from general orthopedics, sports medicine, trauma, adult reconstruction, trauma, pediatrics and upper extremity. This is directed toward the community general orthopedic surgeon, orthopedic residents, medical students, allied health care professionals and other interested learners. </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event will be held at Bristol Regional Medical Center-Conference Center. This local orthopedic symposium will offer lectures from nationally known speakers in orthopedic surgery, local expert speakers, and orthopedic resident presentations which will be moderated to provide an update of orthopedic treatment in various subspecialties. This one-day event will cover topics from general orthopedics, sports medicine, trauma, adult reconstruction, trauma, pediatrics and upper extremity. This is directed toward the community general orthopedic surgeon, orthopedic residents, medical students, allied health care professionals and other interested learners. </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event will be held at Bristol Regional Medical Center-Conference Center. This local orthopedic symposium will offer lectures from nationally known speakers in orthopedic surgery, local expert speakers, and orthopedic resident presentations which will be moderated to provide an update of orthopedic treatment in various subspecialties. This one-day event will cover topics from general orthopedics, sports medicine, trauma, adult reconstruction, trauma, pediatrics and upper extremity. This is directed toward the community general orthopedic surgeon, orthopedic residents, medical students, allied health care professionals and other interested learners. </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1 Identify current guidelines and be exposed to cutting edge research in the field of orthopedics. </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 xml:space="preserve">2 Identify mechanisms to implement measures needed to enhance or mantain health and function of orthopedic patients.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 xml:space="preserve">1 Identify current guidelines and be exposed to cutting edge research in the field of orthopedics. </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 xml:space="preserve">2 Identify mechanisms to implement measures needed to enhance or mantain health and function of orthopedic patients. </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 xml:space="preserve">1 Identify current guidelines and be exposed to cutting edge research in the field of orthopedics. </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 xml:space="preserve">2 Identify mechanisms to implement measures needed to enhance or mantain health and function of orthopedic patients. </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7.25</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7.25</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7.25</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7.25</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7.25</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7.25</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7.25</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instrText>7.25</w:instrText>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instrText>7.25</w:instrText>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Nursing Credit:</w:t>
      </w:r>
      <w:r w:rsidRPr="00EA6911" w:rsidR="00800A37">
        <w:rPr>
          <w:rFonts w:ascii="Cambria" w:hAnsi="Cambria" w:cstheme="minorHAnsi"/>
          <w:color w:val="020437"/>
          <w:szCs w:val="24"/>
        </w:rPr>
        <w:t xml:space="preserve"> Up to </w:t>
      </w:r>
      <w:r w:rsidRPr="00EA6911" w:rsidR="00800A37">
        <w:rPr>
          <w:rFonts w:ascii="Cambria" w:hAnsi="Cambria" w:cstheme="minorHAnsi"/>
          <w:color w:val="020437"/>
          <w:szCs w:val="24"/>
        </w:rPr>
        <w:t>7.25</w:t>
      </w:r>
      <w:r w:rsidRPr="00EA6911" w:rsidR="00800A37">
        <w:rPr>
          <w:rFonts w:ascii="Cambria" w:hAnsi="Cambria" w:cstheme="minorHAnsi"/>
          <w:color w:val="020437"/>
          <w:szCs w:val="24"/>
        </w:rPr>
        <w:t xml:space="preserve"> (</w:t>
      </w:r>
      <w:r w:rsidRPr="00EA6911" w:rsidR="00800A37">
        <w:rPr>
          <w:rFonts w:ascii="Cambria" w:hAnsi="Cambria" w:cstheme="minorHAnsi"/>
          <w:color w:val="020437"/>
          <w:szCs w:val="24"/>
        </w:rPr>
        <w:t>7.25</w:t>
      </w:r>
      <w:r w:rsidRPr="00EA6911" w:rsidR="00800A37">
        <w:rPr>
          <w:rFonts w:ascii="Cambria" w:hAnsi="Cambria" w:cstheme="minorHAnsi"/>
          <w:color w:val="020437"/>
          <w:szCs w:val="24"/>
        </w:rPr>
        <w:t>CH) continuing nursing education hours have been approved for this program.</w:t>
      </w:r>
      <w:r w:rsidRPr="00EA6911">
        <w:rPr>
          <w:rFonts w:ascii="Cambria" w:hAnsi="Cambria" w:cstheme="minorHAnsi"/>
          <w:color w:val="020437"/>
          <w:szCs w:val="24"/>
        </w:rPr>
        <w: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Alan Aiken,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Derek R Bass,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Cheshire,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Collinet,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Brittney Cox</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Green, DO, Pediatric Orthopedics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Grijalva,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M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A Hillesheim,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Tyler Iodence,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Alexandra Johnson,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R Johnston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R Learned,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Fee-Stryker (Any division)|Consulting Fee-Globus Medical, Inc. - 03/14/2024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Marchessault,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Jeffery C Martin, DO, FAAOS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Bart McKinney,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 E Minter,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Thomas Murphy,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Price,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Employment-DePuy (Any division) (Relationship has ended) - 03/15/2024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Carlton Savory,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Caitlin Smith,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R Smith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 Stewart,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Fee-DePuy (Any division) (Relationship has ended) - 03/23/2024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Taris,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Larry Waldrop 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Fee-DePuy (Any division) - 04/04/2024</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