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3470</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Orthopaedic Surgery Morbidity &amp; Mortality Conference 3/7/23-3/6/24</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Orthopaedic Surgery Morbidity &amp; Mortality Conference - 11/21/2023</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Orthopaedic Surgery Morbidity &amp; Mortality Conference 3/7/23-3/6/24</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Orthopaedic Surgery Morbidity &amp; Mortality Conference - 11/21/2023</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Other:</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Other:</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November 21, 2023 6:00 PM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11/21/2023</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11/21/2023</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w:instrText>
      </w:r>
      <w:r w:rsidRPr="00EA6911">
        <w:rPr>
          <w:rFonts w:ascii="Cambria" w:hAnsi="Cambria" w:cstheme="minorHAnsi"/>
          <w:color w:val="020437"/>
          <w:sz w:val="32"/>
          <w:szCs w:val="32"/>
        </w:rPr>
        <w:instrText>Quillen College of Medicine / VA Campus</w:instrText>
      </w:r>
      <w:r w:rsidRPr="00EA6911">
        <w:rPr>
          <w:rFonts w:ascii="Cambria" w:hAnsi="Cambria" w:cstheme="minorHAnsi"/>
          <w:color w:val="020437"/>
          <w:sz w:val="32"/>
          <w:szCs w:val="32"/>
        </w:rPr>
        <w:instrText>"</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Quillen College of Medicine / VA Campus</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Quillen College of Medicine / VA Campus</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Regularly scheduled series to review cases to evaluate who, what, when, how, and why AE (AE) / morbidity or mortality occurred, and how to avoid these complications in the future. Avoiding unanticipated complications, faulty systems, processes and conditions, and improve human error.</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Regularly scheduled series to review cases to evaluate who, what, when, how, and why AE (AE) / morbidity or mortality occurred, and how to avoid these complications in the future. Avoiding unanticipated complications, faulty systems, processes and conditions, and improve human error.</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Regularly scheduled series to review cases to evaluate who, what, when, how, and why AE (AE) / morbidity or mortality occurred, and how to avoid these complications in the future. Avoiding unanticipated complications, faulty systems, processes and conditions, and improve human error.</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Improve surgical knowledge.</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Recognize common surgical problems and how to treat them.</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3 Develop communication skills.</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4 Understand medical systems and administrative processes.</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5 Develop an understanding of ethical, compassionate care.</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6 Recognize the need for ongoing quality improvement in order to positively affect patient care and outcomes.</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Improve surgical knowledge.</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Recognize common surgical problems and how to treat them.</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3 Develop communication skills.</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4 Understand medical systems and administrative processes.</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5 Develop an understanding of ethical, compassionate care.</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6 Recognize the need for ongoing quality improvement in order to positively affect patient care and outcomes.</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Improve surgical knowledge.</w: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t>2 Recognize common surgical problems and how to treat them.</w: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t>3 Develop communication skills.</w: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t>4 Understand medical systems and administrative processes.</w: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t>5 Develop an understanding of ethical, compassionate care.</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6 Recognize the need for ongoing quality improvement in order to positively affect patient care and outcomes.</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Wolf, MBA, CPPS, CPHRM,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Donna Dougherty, BS,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Caitlin Smith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E Krenk,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- 02/20/2023</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