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3832</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Hem-Onc Weekly Series (8/5/2023-8/4/2024)</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Hem-Onc Weekly Series - 10/27/2023</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Hem-Onc Weekly Series (8/5/2023-8/4/2024)</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Hem-Onc Weekly Series - 10/27/2023</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October 27, 2023 8:00 AM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10/27/2023</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10/27/2023</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Other</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Other</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Other</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A weekly meeting on Friday at 8:00 am to discuss retrospective cancer cases and relative journal articles to improve practice.</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A weekly meeting on Friday at 8:00 am to discuss retrospective cancer cases and relative journal articles to improve practice.</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A weekly meeting on Friday at 8:00 am to discuss retrospective cancer cases and relative journal articles to improve practice.</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1 Diagnose, stage, and prognosticate specific cancers.</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2 Apply evidence-based treatment paradigms.</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instrText>1 Diagnose, stage, and prognosticate specific cancers.</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2 Apply evidence-based treatment paradigms.</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Learning Objectives</w: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t>1 Diagnose, stage, and prognosticate specific cancers.</w:t>
      </w: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Cs w:val="24"/>
        </w:rPr>
        <w:t>2 Apply evidence-based treatment paradigms.</w:t>
      </w:r>
      <w:r w:rsidRPr="00EA6911">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S Hood,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DEVAPIRAN JAISHANKAR, MD, Professor of Medicine, Division Chief &amp; Program Director Medical Oncology ETSU</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Kanishka Chakraborty,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Arjun Natarajan,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- 05/23/2023</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