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-Writing Reports &amp; Communicating Your Findings 11/16/2023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-Writing Reports &amp; Communicating Your Findings 11/16/2023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November 16, 2023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11/16/2023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11/16/2023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sz w:val="30"/>
          <w:szCs w:val="30"/>
          <w:rtl w:val="0"/>
        </w:rPr>
        <w:instrText>Noon - 1:00 PM CST</w:instrText>
      </w:r>
      <w:r>
        <w:rPr>
          <w:b/>
          <w:bCs/>
          <w:color w:val="FF0000"/>
          <w:sz w:val="30"/>
          <w:szCs w:val="30"/>
          <w:rtl w:val="0"/>
        </w:rPr>
        <w:br/>
      </w:r>
      <w:r>
        <w:rPr>
          <w:b/>
          <w:bCs/>
          <w:color w:val="FF0000"/>
          <w:sz w:val="30"/>
          <w:szCs w:val="30"/>
          <w:rtl w:val="0"/>
        </w:rPr>
        <w:instrText>1:00 PM - 2:00 PM EST</w:instrText>
      </w:r>
    </w:p>
    <w:p>
      <w:pPr>
        <w:bidi w:val="0"/>
        <w:spacing w:after="280" w:afterAutospacing="1"/>
        <w:rPr>
          <w:rtl w:val="0"/>
        </w:rPr>
      </w:pPr>
      <w:r>
        <w:rPr>
          <w:b/>
          <w:bCs/>
          <w:color w:val="FF0000"/>
          <w:sz w:val="30"/>
          <w:szCs w:val="3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sz w:val="30"/>
          <w:szCs w:val="30"/>
          <w:rtl w:val="0"/>
        </w:rPr>
        <w:fldChar w:fldCharType="begin"/>
      </w:r>
      <w:r>
        <w:rPr>
          <w:b/>
          <w:bCs/>
          <w:sz w:val="30"/>
          <w:szCs w:val="30"/>
          <w:rtl w:val="0"/>
        </w:rPr>
        <w:instrText xml:space="preserve"> HYPERLINK "https://us02web.zoom.us/j/84040644450?pwd=UE5BT2tzMi9RNVNOaEcyYW1FRXRpQT09" </w:instrText>
      </w:r>
      <w:r>
        <w:rPr>
          <w:b/>
          <w:bCs/>
          <w:sz w:val="30"/>
          <w:szCs w:val="30"/>
          <w:rtl w:val="0"/>
        </w:rPr>
        <w:fldChar w:fldCharType="separate"/>
      </w:r>
      <w:r>
        <w:rPr>
          <w:b/>
          <w:bCs/>
          <w:color w:val="0000FF"/>
          <w:sz w:val="30"/>
          <w:szCs w:val="30"/>
          <w:u w:val="single"/>
          <w:rtl w:val="0"/>
        </w:rPr>
        <w:instrText>Click Here to Join Via Zoom</w:instrText>
      </w:r>
      <w:r>
        <w:rPr>
          <w:b/>
          <w:bCs/>
          <w:sz w:val="30"/>
          <w:szCs w:val="30"/>
          <w:rtl w:val="0"/>
        </w:rPr>
        <w:fldChar w:fldCharType="end"/>
      </w:r>
    </w:p>
    <w:p>
      <w:pPr>
        <w:bidi w:val="0"/>
        <w:spacing w:after="280" w:afterAutospacing="1"/>
        <w:rPr>
          <w:rtl w:val="0"/>
        </w:rPr>
      </w:pPr>
      <w:r>
        <w:rPr>
          <w:b/>
          <w:bCs/>
          <w:sz w:val="27"/>
          <w:szCs w:val="27"/>
          <w:rtl w:val="0"/>
        </w:rPr>
        <w:instrText>Instructional Level</w:instrText>
      </w:r>
    </w:p>
    <w:p>
      <w:pPr>
        <w:bidi w:val="0"/>
        <w:spacing w:after="280" w:afterAutospacing="1"/>
        <w:rPr>
          <w:rtl w:val="0"/>
        </w:rPr>
      </w:pPr>
      <w:r>
        <w:rPr>
          <w:b/>
          <w:bCs/>
          <w:sz w:val="27"/>
          <w:szCs w:val="27"/>
          <w:rtl w:val="0"/>
        </w:rPr>
        <w:br/>
      </w:r>
      <w:r>
        <w:rPr>
          <w:sz w:val="27"/>
          <w:szCs w:val="27"/>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1 Participants will learn how to structure reports to allow the best flow of information </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be able to understand the details needed for exploring the risk to sexually re-offend</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be able to explain how to summarize findings as it relates to the risk to sexually re-offend</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 xml:space="preserve">1 Participants will learn how to structure reports to allow the best flow of information </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be able to understand the details needed for exploring the risk to sexually re-offend</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be able to explain how to summarize findings as it relates to the risk to sexually re-offend</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 xml:space="preserve">1 Participants will learn how to structure reports to allow the best flow of information </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be able to understand the details needed for exploring the risk to sexually re-offend</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be able to explain how to summarize findings as it relates to the risk to sexually re-offend</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