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3145</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Thompson Proton Center: General Tumor Conference (8/4/2022-8/3/2023)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Thompson Proton Center: General Tumor Conference - 10/21/2022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Thompson Proton Center: General Tumor Conference (8/4/2022-8/3/2023)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Thompson Proton Center: General Tumor Conference - 10/21/2022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October 21, 2022 7:00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10/21/2022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10/21/2022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Thompson Proton Center</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Thompson Proton Center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Thompson Proton Center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Patient cases are presented and evaluated by a multi-disciplinary panel of physicians. Guidelines for treatment are reviewed, and through collegial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 care after it has already started (retrospective) to ensure the treatment is working as planned. The goal is to have an open forum to discuss cancer cases and determine the best course of treatment.</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Patient cases are presented and evaluated by a multi-disciplinary panel of physicians. Guidelines for treatment are reviewed, and through collegial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 care after it has already started (retrospective) to ensure the treatment is working as planned. The goal is to have an open forum to discuss cancer cases and determine the best course of treatment.</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Patient cases are presented and evaluated by a multi-disciplinary panel of physicians. Guidelines for treatment are reviewed, and through collegial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 care after it has already started (retrospective) to ensure the treatment is working as planned. The goal is to have an open forum to discuss cancer cases and determine the best course of treatment.</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Define a treatment plan for each patient</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Develop a treatment plan that is best for the patient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Define a treatment plan for each patient</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Develop a treatment plan that is best for the patient</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Define a treatment plan for each patient</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Develop a treatment plan that is best for the patient</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Danielle Landry, BSSW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Brittany Powell,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Judson Gash,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