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- 10/12/2022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- 10/12/2022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12, 2022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10/12/2022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10/12/2022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Understand the different strategies when choosing protocol</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Understand the difference in radiation exposure between the protocols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Understand the different strategies when choosing protocol</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Understand the difference in radiation exposure between the protocols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Understand the different strategies when choosing protocol</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Understand the difference in radiation exposure between the protocols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A Colna,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